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4A" w:rsidRPr="00CC664A" w:rsidRDefault="00CC664A" w:rsidP="00CC664A">
      <w:pPr>
        <w:suppressAutoHyphens/>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CC664A">
        <w:rPr>
          <w:rFonts w:ascii="Times New Roman CYR" w:hAnsi="Times New Roman CYR" w:cs="Times New Roman CYR"/>
          <w:b/>
          <w:bCs/>
          <w:color w:val="26282F"/>
          <w:sz w:val="24"/>
          <w:szCs w:val="24"/>
        </w:rPr>
        <w:t>Критерии доступности и качества медицинской помощи</w:t>
      </w: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CC664A">
        <w:rPr>
          <w:rFonts w:ascii="Times New Roman CYR" w:hAnsi="Times New Roman CYR" w:cs="Times New Roman CYR"/>
          <w:sz w:val="24"/>
          <w:szCs w:val="24"/>
        </w:rPr>
        <w:t>В соответствии с Территориальной программой устанавливаются целевые значения критериев доступности и качества медицинской помощи </w:t>
      </w:r>
      <w:hyperlink r:id="rId4" w:history="1">
        <w:r w:rsidRPr="00CC664A">
          <w:rPr>
            <w:rFonts w:ascii="Times New Roman CYR" w:hAnsi="Times New Roman CYR" w:cs="Times New Roman CYR"/>
            <w:color w:val="106BBE"/>
            <w:sz w:val="24"/>
            <w:szCs w:val="24"/>
            <w:u w:val="single"/>
            <w:vertAlign w:val="superscript"/>
          </w:rPr>
          <w:t>5</w:t>
        </w:r>
      </w:hyperlink>
      <w:r w:rsidRPr="00CC664A">
        <w:rPr>
          <w:rFonts w:ascii="Times New Roman CYR" w:hAnsi="Times New Roman CYR" w:cs="Times New Roman CYR"/>
          <w:sz w:val="24"/>
          <w:szCs w:val="24"/>
        </w:rPr>
        <w:t>, на основе которых комплексно оценивается уровень и динамика следующих показателей:</w:t>
      </w: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rsidR="00CC664A" w:rsidRPr="00CC664A" w:rsidRDefault="00CC664A" w:rsidP="00CC664A">
      <w:pPr>
        <w:suppressAutoHyphens/>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CC664A">
        <w:rPr>
          <w:rFonts w:ascii="Times New Roman CYR" w:hAnsi="Times New Roman CYR" w:cs="Times New Roman CYR"/>
          <w:b/>
          <w:bCs/>
          <w:color w:val="26282F"/>
          <w:sz w:val="24"/>
          <w:szCs w:val="24"/>
        </w:rPr>
        <w:t>Критерии качества медицинской помощи</w:t>
      </w: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40"/>
        <w:gridCol w:w="1260"/>
        <w:gridCol w:w="1260"/>
        <w:gridCol w:w="1260"/>
      </w:tblGrid>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N</w:t>
            </w:r>
            <w:r w:rsidRPr="00CC664A">
              <w:rPr>
                <w:rFonts w:ascii="Times New Roman CYR" w:hAnsi="Times New Roman CYR" w:cs="Times New Roman CYR"/>
                <w:sz w:val="24"/>
                <w:szCs w:val="24"/>
              </w:rPr>
              <w:br/>
              <w:t>п/п</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Наименование критериев качества медицинской помощи</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2020 год</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2021 год</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2022 год</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4</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Удовлетворенность населения медицинской помощью (проценты от числа опрошенных)</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76,0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77,0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78,0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Смертность населения в трудоспособном возрасте (число умерших в трудоспособном возрасте на 100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304,0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304,0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304,0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умерших в трудоспособном возрасте на дому в общем количестве умерших в трудоспособном возрасте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34,0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33,0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33,0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4</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Материнская смертность (на 100 тыс. человек, родившихся живыми)</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10,5</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10,4</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10,4</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Младенческая смертность (на 1 тыс. человек, родившихся живыми)</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5,3</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5,2</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5,1</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умерших в возрасте до 1 года на дому в общем количестве умерших в возрасте до 1 года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5,7</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5,6</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5,5</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7</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Смертность детей в возрасте 0-4 лет (на 1 тыс. родившихся живыми)</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6,8</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6,5</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6,4</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8</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Смертность населения (число умерших на 1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9,86</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9,84</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9,83</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умерших в возрасте 0-4 лет на дому в общем количестве умерших в возрасте 0-4 лет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6,5</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6,4</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6,3</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10</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Смертность детей в возрасте 0-17 лет (на 100 тыс. детей соответствующего возраста)</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61,0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60,0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59,0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11</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умерших в возрасте 0-17 лет на дому в общем количестве умерших в возрасте 0-17 лет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9,4</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9,4</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9,4</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12</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19,9</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19,9</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19,9</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13</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2,1</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2,2</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2,3</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lastRenderedPageBreak/>
              <w:t>14</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56,9</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57,8</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58,7</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15</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62,0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62,3</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62,5</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16</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взятыми под диспансерное наблюдение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27,2</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27,4</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27,6</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17</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56,0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57,0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58,0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18</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0,8</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0,8</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0,8</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19</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70,0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72,0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73,0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20</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r:id="rId5" w:history="1">
              <w:r w:rsidRPr="00CC664A">
                <w:rPr>
                  <w:rFonts w:ascii="Times New Roman CYR" w:hAnsi="Times New Roman CYR" w:cs="Times New Roman CYR"/>
                  <w:color w:val="106BBE"/>
                  <w:sz w:val="24"/>
                  <w:szCs w:val="24"/>
                  <w:u w:val="single"/>
                  <w:vertAlign w:val="superscript"/>
                </w:rPr>
                <w:t>6</w:t>
              </w:r>
            </w:hyperlink>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80,0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81,0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83,0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21</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r:id="rId6" w:history="1">
              <w:r w:rsidRPr="00CC664A">
                <w:rPr>
                  <w:rFonts w:ascii="Times New Roman CYR" w:hAnsi="Times New Roman CYR" w:cs="Times New Roman CYR"/>
                  <w:color w:val="106BBE"/>
                  <w:sz w:val="24"/>
                  <w:szCs w:val="24"/>
                  <w:u w:val="single"/>
                  <w:vertAlign w:val="superscript"/>
                </w:rPr>
                <w:t>7</w:t>
              </w:r>
            </w:hyperlink>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97,0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99,0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99,0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22</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r:id="rId7" w:history="1">
              <w:r w:rsidRPr="00CC664A">
                <w:rPr>
                  <w:rFonts w:ascii="Times New Roman CYR" w:hAnsi="Times New Roman CYR" w:cs="Times New Roman CYR"/>
                  <w:color w:val="106BBE"/>
                  <w:sz w:val="24"/>
                  <w:szCs w:val="24"/>
                  <w:u w:val="single"/>
                  <w:vertAlign w:val="superscript"/>
                </w:rPr>
                <w:t>7</w:t>
              </w:r>
            </w:hyperlink>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97,0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99,0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99,0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23</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 xml:space="preserve">Доля пациентов с острыми цереброваскулярными </w:t>
            </w:r>
            <w:r w:rsidRPr="00CC664A">
              <w:rPr>
                <w:rFonts w:ascii="Times New Roman CYR" w:hAnsi="Times New Roman CYR" w:cs="Times New Roman CYR"/>
                <w:sz w:val="24"/>
                <w:szCs w:val="24"/>
              </w:rPr>
              <w:lastRenderedPageBreak/>
              <w:t>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lastRenderedPageBreak/>
              <w:t>32,0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32,5</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32,8</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lastRenderedPageBreak/>
              <w:t>24</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r:id="rId8" w:history="1">
              <w:r w:rsidRPr="00CC664A">
                <w:rPr>
                  <w:rFonts w:ascii="Times New Roman CYR" w:hAnsi="Times New Roman CYR" w:cs="Times New Roman CYR"/>
                  <w:color w:val="106BBE"/>
                  <w:sz w:val="24"/>
                  <w:szCs w:val="24"/>
                  <w:u w:val="single"/>
                  <w:vertAlign w:val="superscript"/>
                </w:rPr>
                <w:t>7</w:t>
              </w:r>
            </w:hyperlink>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97,0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97,5</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97,5</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25</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4,7</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5,1</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26</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15,0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15,0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15,0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27</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8,5</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8,6</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8,7</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28</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r:id="rId9" w:history="1">
              <w:r w:rsidRPr="00CC664A">
                <w:rPr>
                  <w:rFonts w:ascii="Times New Roman CYR" w:hAnsi="Times New Roman CYR" w:cs="Times New Roman CYR"/>
                  <w:color w:val="106BBE"/>
                  <w:sz w:val="24"/>
                  <w:szCs w:val="24"/>
                  <w:u w:val="single"/>
                  <w:vertAlign w:val="superscript"/>
                </w:rPr>
                <w:t>9</w:t>
              </w:r>
            </w:hyperlink>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98,5</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98,6</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98,7</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29</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пациентов, получивших паллиативную медицинскую помощь, в общем количестве пациентов, нуждающихся в паллиативной медицинской помощи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63,0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66,0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70,0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30</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100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100</w:t>
            </w:r>
          </w:p>
        </w:tc>
      </w:tr>
    </w:tbl>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rsidR="00CC664A" w:rsidRPr="00CC664A" w:rsidRDefault="00CC664A" w:rsidP="00CC664A">
      <w:pPr>
        <w:suppressAutoHyphens/>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CC664A">
        <w:rPr>
          <w:rFonts w:ascii="Times New Roman CYR" w:hAnsi="Times New Roman CYR" w:cs="Times New Roman CYR"/>
          <w:b/>
          <w:bCs/>
          <w:color w:val="26282F"/>
          <w:sz w:val="24"/>
          <w:szCs w:val="24"/>
        </w:rPr>
        <w:t>Критерии доступности медицинской помощи</w:t>
      </w: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40"/>
        <w:gridCol w:w="1260"/>
        <w:gridCol w:w="1260"/>
        <w:gridCol w:w="1260"/>
      </w:tblGrid>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N</w:t>
            </w:r>
            <w:r w:rsidRPr="00CC664A">
              <w:rPr>
                <w:rFonts w:ascii="Times New Roman CYR" w:hAnsi="Times New Roman CYR" w:cs="Times New Roman CYR"/>
                <w:sz w:val="24"/>
                <w:szCs w:val="24"/>
              </w:rPr>
              <w:br/>
            </w:r>
            <w:r w:rsidRPr="00CC664A">
              <w:rPr>
                <w:rFonts w:ascii="Times New Roman CYR" w:hAnsi="Times New Roman CYR" w:cs="Times New Roman CYR"/>
                <w:sz w:val="24"/>
                <w:szCs w:val="24"/>
              </w:rPr>
              <w:lastRenderedPageBreak/>
              <w:t>п/п</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lastRenderedPageBreak/>
              <w:t xml:space="preserve">Наименование критериев доступности медицинской </w:t>
            </w:r>
            <w:r w:rsidRPr="00CC664A">
              <w:rPr>
                <w:rFonts w:ascii="Times New Roman CYR" w:hAnsi="Times New Roman CYR" w:cs="Times New Roman CYR"/>
                <w:sz w:val="24"/>
                <w:szCs w:val="24"/>
              </w:rPr>
              <w:lastRenderedPageBreak/>
              <w:t>помощи</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lastRenderedPageBreak/>
              <w:t>2020 год</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2021 год</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2022 год</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lastRenderedPageBreak/>
              <w:t>1</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4</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Обеспеченность населения врачами (на 10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41,5</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41,3</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41,0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1.1</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Обеспеченность населения врачами, оказывающими медицинскую помощь в амбулаторных условиях (на 10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22,0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22,0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22,1</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1.2</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Обеспеченность населения врачами, оказывающими медицинскую помощь в стационарных условиях (на 10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17,7</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17,6</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17,5</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Обеспеченность населения средним медицинским персоналом (на 10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67,8</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67,4</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67,0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2.1</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24,3</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22,7</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2.2</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36,0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35,8</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35,6</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5,1</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5,5</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5,8</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4</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1,5</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1,5</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охвата диспансеризацией взрослого населения, подлежащего диспансеризации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98,5</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98,6</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98,7</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охвата профилактическими медицинскими осмотрами взрослого населения, подлежащего профилактическим медицинским осмотрам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94,4</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94,5</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94,6</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7</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охвата профилактическими медицинскими осмотрами детей, подлежащих профилактическим медицинским осмотрам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99,0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99,1</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99,2</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8</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6,1</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6,1</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6,1</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9</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w:t>
            </w:r>
            <w:r w:rsidRPr="00CC664A">
              <w:rPr>
                <w:rFonts w:ascii="Times New Roman CYR" w:hAnsi="Times New Roman CYR" w:cs="Times New Roman CYR"/>
                <w:sz w:val="24"/>
                <w:szCs w:val="24"/>
              </w:rPr>
              <w:lastRenderedPageBreak/>
              <w:t>взрослому населению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lastRenderedPageBreak/>
              <w:t>100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100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100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lastRenderedPageBreak/>
              <w:t>10</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женщин, которым проведено экстракорпоральное оплодотворение, в общем количестве женщин с бесплодием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75,5</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75,8</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75,9</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11</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Доля записей к врачу, совершенных гражданами без очного обращения в регистратуру медицинской организации, в общем количестве записей к врачу (проценты)</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55,0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58,0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60,0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12</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Число пациентов, получивших паллиативную медицинскую помощь по месту жительства, в том числе на дому</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35 000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36 960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38 000</w:t>
            </w:r>
          </w:p>
        </w:tc>
      </w:tr>
      <w:tr w:rsidR="00CC664A" w:rsidRPr="00CC664A">
        <w:tblPrEx>
          <w:tblCellMar>
            <w:top w:w="0" w:type="dxa"/>
            <w:bottom w:w="0" w:type="dxa"/>
          </w:tblCellMar>
        </w:tblPrEx>
        <w:tc>
          <w:tcPr>
            <w:tcW w:w="700" w:type="dxa"/>
            <w:tcBorders>
              <w:top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13</w:t>
            </w:r>
          </w:p>
        </w:tc>
        <w:tc>
          <w:tcPr>
            <w:tcW w:w="574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both"/>
              <w:rPr>
                <w:rFonts w:ascii="Times New Roman CYR" w:hAnsi="Times New Roman CYR" w:cs="Times New Roman CYR"/>
                <w:sz w:val="24"/>
                <w:szCs w:val="24"/>
              </w:rPr>
            </w:pPr>
            <w:r w:rsidRPr="00CC664A">
              <w:rPr>
                <w:rFonts w:ascii="Times New Roman CYR" w:hAnsi="Times New Roman CYR" w:cs="Times New Roman CYR"/>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200</w:t>
            </w:r>
          </w:p>
        </w:tc>
        <w:tc>
          <w:tcPr>
            <w:tcW w:w="1260" w:type="dxa"/>
            <w:tcBorders>
              <w:top w:val="single" w:sz="4" w:space="0" w:color="auto"/>
              <w:left w:val="single" w:sz="4" w:space="0" w:color="auto"/>
              <w:bottom w:val="single" w:sz="4" w:space="0" w:color="auto"/>
            </w:tcBorders>
          </w:tcPr>
          <w:p w:rsidR="00CC664A" w:rsidRPr="00CC664A" w:rsidRDefault="00CC664A" w:rsidP="00CC664A">
            <w:pPr>
              <w:suppressAutoHyphens/>
              <w:autoSpaceDE w:val="0"/>
              <w:autoSpaceDN w:val="0"/>
              <w:adjustRightInd w:val="0"/>
              <w:spacing w:after="0" w:line="240" w:lineRule="auto"/>
              <w:jc w:val="center"/>
              <w:rPr>
                <w:rFonts w:ascii="Times New Roman CYR" w:hAnsi="Times New Roman CYR" w:cs="Times New Roman CYR"/>
                <w:sz w:val="24"/>
                <w:szCs w:val="24"/>
              </w:rPr>
            </w:pPr>
            <w:r w:rsidRPr="00CC664A">
              <w:rPr>
                <w:rFonts w:ascii="Times New Roman CYR" w:hAnsi="Times New Roman CYR" w:cs="Times New Roman CYR"/>
                <w:sz w:val="24"/>
                <w:szCs w:val="24"/>
              </w:rPr>
              <w:t>500</w:t>
            </w:r>
          </w:p>
        </w:tc>
      </w:tr>
    </w:tbl>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rsidR="00CC664A" w:rsidRPr="00CC664A" w:rsidRDefault="00CC664A" w:rsidP="00CC664A">
      <w:pPr>
        <w:suppressAutoHyphens/>
        <w:autoSpaceDE w:val="0"/>
        <w:autoSpaceDN w:val="0"/>
        <w:adjustRightInd w:val="0"/>
        <w:spacing w:after="0" w:line="240" w:lineRule="auto"/>
        <w:rPr>
          <w:rFonts w:ascii="Courier New" w:hAnsi="Courier New" w:cs="Courier New"/>
        </w:rPr>
      </w:pPr>
      <w:r w:rsidRPr="00CC664A">
        <w:rPr>
          <w:rFonts w:ascii="Segoe UI Symbol" w:hAnsi="Segoe UI Symbol" w:cs="Segoe UI Symbol"/>
        </w:rPr>
        <w:t>──────────────────────────────</w:t>
      </w: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CC664A">
        <w:rPr>
          <w:rFonts w:ascii="Times New Roman CYR" w:hAnsi="Times New Roman CYR" w:cs="Times New Roman CYR"/>
          <w:sz w:val="24"/>
          <w:szCs w:val="24"/>
          <w:vertAlign w:val="superscript"/>
        </w:rPr>
        <w:t>1</w:t>
      </w:r>
      <w:r w:rsidRPr="00CC664A">
        <w:rPr>
          <w:rFonts w:ascii="Times New Roman CYR" w:hAnsi="Times New Roman CYR" w:cs="Times New Roman CYR"/>
          <w:sz w:val="24"/>
          <w:szCs w:val="24"/>
        </w:rPr>
        <w:t xml:space="preserve"> </w:t>
      </w:r>
      <w:r w:rsidRPr="00CC664A">
        <w:rPr>
          <w:rFonts w:ascii="Times New Roman CYR" w:hAnsi="Times New Roman CYR" w:cs="Times New Roman CYR"/>
          <w:sz w:val="24"/>
          <w:szCs w:val="24"/>
          <w:vertAlign w:val="subscript"/>
        </w:rPr>
        <w:t>В 96 процентах случаев.</w:t>
      </w: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CC664A">
        <w:rPr>
          <w:rFonts w:ascii="Times New Roman CYR" w:hAnsi="Times New Roman CYR" w:cs="Times New Roman CYR"/>
          <w:sz w:val="24"/>
          <w:szCs w:val="24"/>
          <w:vertAlign w:val="superscript"/>
        </w:rPr>
        <w:t>2</w:t>
      </w:r>
      <w:r w:rsidRPr="00CC664A">
        <w:rPr>
          <w:rFonts w:ascii="Times New Roman CYR" w:hAnsi="Times New Roman CYR" w:cs="Times New Roman CYR"/>
          <w:sz w:val="24"/>
          <w:szCs w:val="24"/>
        </w:rPr>
        <w:t xml:space="preserve"> </w:t>
      </w:r>
      <w:r w:rsidRPr="00CC664A">
        <w:rPr>
          <w:rFonts w:ascii="Times New Roman CYR" w:hAnsi="Times New Roman CYR" w:cs="Times New Roman CYR"/>
          <w:sz w:val="24"/>
          <w:szCs w:val="24"/>
          <w:vertAlign w:val="subscript"/>
        </w:rPr>
        <w:t>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CC664A">
        <w:rPr>
          <w:rFonts w:ascii="Times New Roman CYR" w:hAnsi="Times New Roman CYR" w:cs="Times New Roman CYR"/>
          <w:sz w:val="24"/>
          <w:szCs w:val="24"/>
          <w:vertAlign w:val="superscript"/>
        </w:rPr>
        <w:t>3</w:t>
      </w:r>
      <w:r w:rsidRPr="00CC664A">
        <w:rPr>
          <w:rFonts w:ascii="Times New Roman CYR" w:hAnsi="Times New Roman CYR" w:cs="Times New Roman CYR"/>
          <w:sz w:val="24"/>
          <w:szCs w:val="24"/>
        </w:rPr>
        <w:t xml:space="preserve"> </w:t>
      </w:r>
      <w:r w:rsidRPr="00CC664A">
        <w:rPr>
          <w:rFonts w:ascii="Times New Roman CYR" w:hAnsi="Times New Roman CYR" w:cs="Times New Roman CYR"/>
          <w:sz w:val="24"/>
          <w:szCs w:val="24"/>
          <w:vertAlign w:val="subscript"/>
        </w:rPr>
        <w:t>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CC664A">
        <w:rPr>
          <w:rFonts w:ascii="Times New Roman CYR" w:hAnsi="Times New Roman CYR" w:cs="Times New Roman CYR"/>
          <w:sz w:val="24"/>
          <w:szCs w:val="24"/>
          <w:vertAlign w:val="superscript"/>
        </w:rPr>
        <w:t>4</w:t>
      </w:r>
      <w:r w:rsidRPr="00CC664A">
        <w:rPr>
          <w:rFonts w:ascii="Times New Roman CYR" w:hAnsi="Times New Roman CYR" w:cs="Times New Roman CYR"/>
          <w:sz w:val="24"/>
          <w:szCs w:val="24"/>
        </w:rPr>
        <w:t xml:space="preserve"> </w:t>
      </w:r>
      <w:r w:rsidRPr="00CC664A">
        <w:rPr>
          <w:rFonts w:ascii="Times New Roman CYR" w:hAnsi="Times New Roman CYR" w:cs="Times New Roman CYR"/>
          <w:sz w:val="24"/>
          <w:szCs w:val="24"/>
          <w:vertAlign w:val="subscript"/>
        </w:rPr>
        <w:t>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3 615,96 рубля на 2020 год, 3 615,96 рубля на 2021 год, 3 615,96 рубля на 2022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- 198 028,35 рубля на 2020 год, 206 993,53 рубля на 2021 год, 216 498,94 рубля на 2022 год.</w:t>
      </w: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CC664A">
        <w:rPr>
          <w:rFonts w:ascii="Times New Roman CYR" w:hAnsi="Times New Roman CYR" w:cs="Times New Roman CYR"/>
          <w:sz w:val="24"/>
          <w:szCs w:val="24"/>
          <w:vertAlign w:val="superscript"/>
        </w:rPr>
        <w:t>5</w:t>
      </w:r>
      <w:r w:rsidRPr="00CC664A">
        <w:rPr>
          <w:rFonts w:ascii="Times New Roman CYR" w:hAnsi="Times New Roman CYR" w:cs="Times New Roman CYR"/>
          <w:sz w:val="24"/>
          <w:szCs w:val="24"/>
        </w:rPr>
        <w:t xml:space="preserve"> </w:t>
      </w:r>
      <w:r w:rsidRPr="00CC664A">
        <w:rPr>
          <w:rFonts w:ascii="Times New Roman CYR" w:hAnsi="Times New Roman CYR" w:cs="Times New Roman CYR"/>
          <w:sz w:val="24"/>
          <w:szCs w:val="24"/>
          <w:vertAlign w:val="subscript"/>
        </w:rPr>
        <w:t>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CC664A">
        <w:rPr>
          <w:rFonts w:ascii="Times New Roman CYR" w:hAnsi="Times New Roman CYR" w:cs="Times New Roman CYR"/>
          <w:sz w:val="24"/>
          <w:szCs w:val="24"/>
          <w:vertAlign w:val="superscript"/>
        </w:rPr>
        <w:t>6</w:t>
      </w:r>
      <w:r w:rsidRPr="00CC664A">
        <w:rPr>
          <w:rFonts w:ascii="Times New Roman CYR" w:hAnsi="Times New Roman CYR" w:cs="Times New Roman CYR"/>
          <w:sz w:val="24"/>
          <w:szCs w:val="24"/>
        </w:rPr>
        <w:t xml:space="preserve"> </w:t>
      </w:r>
      <w:r w:rsidRPr="00CC664A">
        <w:rPr>
          <w:rFonts w:ascii="Times New Roman CYR" w:hAnsi="Times New Roman CYR" w:cs="Times New Roman CYR"/>
          <w:sz w:val="24"/>
          <w:szCs w:val="24"/>
          <w:vertAlign w:val="subscript"/>
        </w:rPr>
        <w:t>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CC664A">
        <w:rPr>
          <w:rFonts w:ascii="Times New Roman CYR" w:hAnsi="Times New Roman CYR" w:cs="Times New Roman CYR"/>
          <w:sz w:val="24"/>
          <w:szCs w:val="24"/>
          <w:vertAlign w:val="superscript"/>
        </w:rPr>
        <w:t>7</w:t>
      </w:r>
      <w:r w:rsidRPr="00CC664A">
        <w:rPr>
          <w:rFonts w:ascii="Times New Roman CYR" w:hAnsi="Times New Roman CYR" w:cs="Times New Roman CYR"/>
          <w:sz w:val="24"/>
          <w:szCs w:val="24"/>
        </w:rPr>
        <w:t xml:space="preserve"> </w:t>
      </w:r>
      <w:r w:rsidRPr="00CC664A">
        <w:rPr>
          <w:rFonts w:ascii="Times New Roman CYR" w:hAnsi="Times New Roman CYR" w:cs="Times New Roman CYR"/>
          <w:sz w:val="24"/>
          <w:szCs w:val="24"/>
          <w:vertAlign w:val="subscript"/>
        </w:rPr>
        <w:t>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CC664A">
        <w:rPr>
          <w:rFonts w:ascii="Times New Roman CYR" w:hAnsi="Times New Roman CYR" w:cs="Times New Roman CYR"/>
          <w:sz w:val="24"/>
          <w:szCs w:val="24"/>
          <w:vertAlign w:val="superscript"/>
        </w:rPr>
        <w:t>8</w:t>
      </w:r>
      <w:r w:rsidRPr="00CC664A">
        <w:rPr>
          <w:rFonts w:ascii="Times New Roman CYR" w:hAnsi="Times New Roman CYR" w:cs="Times New Roman CYR"/>
          <w:sz w:val="24"/>
          <w:szCs w:val="24"/>
        </w:rPr>
        <w:t xml:space="preserve"> </w:t>
      </w:r>
      <w:r w:rsidRPr="00CC664A">
        <w:rPr>
          <w:rFonts w:ascii="Times New Roman CYR" w:hAnsi="Times New Roman CYR" w:cs="Times New Roman CYR"/>
          <w:sz w:val="24"/>
          <w:szCs w:val="24"/>
          <w:vertAlign w:val="subscript"/>
        </w:rPr>
        <w:t>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на дому выездными патронажными бригадами паллиативной медицинской помощи.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1 458,91 рубля на 2020 год, 1 528,19 рубля на 2021 год, 1 600,83 рубля на 2022 год.</w:t>
      </w:r>
    </w:p>
    <w:p w:rsidR="00CC664A" w:rsidRPr="00CC664A" w:rsidRDefault="00CC664A" w:rsidP="00CC664A">
      <w:pPr>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CC664A">
        <w:rPr>
          <w:rFonts w:ascii="Times New Roman CYR" w:hAnsi="Times New Roman CYR" w:cs="Times New Roman CYR"/>
          <w:sz w:val="24"/>
          <w:szCs w:val="24"/>
          <w:vertAlign w:val="superscript"/>
        </w:rPr>
        <w:t>9</w:t>
      </w:r>
      <w:r w:rsidRPr="00CC664A">
        <w:rPr>
          <w:rFonts w:ascii="Times New Roman CYR" w:hAnsi="Times New Roman CYR" w:cs="Times New Roman CYR"/>
          <w:sz w:val="24"/>
          <w:szCs w:val="24"/>
        </w:rPr>
        <w:t xml:space="preserve"> </w:t>
      </w:r>
      <w:r w:rsidRPr="00CC664A">
        <w:rPr>
          <w:rFonts w:ascii="Times New Roman CYR" w:hAnsi="Times New Roman CYR" w:cs="Times New Roman CYR"/>
          <w:sz w:val="24"/>
          <w:szCs w:val="24"/>
          <w:vertAlign w:val="subscript"/>
        </w:rPr>
        <w:t>В остальных случаях диагноз злокачественного новообразования устанавливается посмертно.</w:t>
      </w:r>
    </w:p>
    <w:p w:rsidR="00CC664A" w:rsidRPr="00CC664A" w:rsidRDefault="00CC664A" w:rsidP="00CC664A">
      <w:pPr>
        <w:suppressAutoHyphens/>
        <w:autoSpaceDE w:val="0"/>
        <w:autoSpaceDN w:val="0"/>
        <w:adjustRightInd w:val="0"/>
        <w:spacing w:after="0" w:line="240" w:lineRule="auto"/>
        <w:rPr>
          <w:rFonts w:ascii="Courier New" w:hAnsi="Courier New" w:cs="Courier New"/>
        </w:rPr>
      </w:pPr>
      <w:r w:rsidRPr="00CC664A">
        <w:rPr>
          <w:rFonts w:ascii="Segoe UI Symbol" w:hAnsi="Segoe UI Symbol" w:cs="Segoe UI Symbol"/>
        </w:rPr>
        <w:t>──────────────────────────────</w:t>
      </w:r>
    </w:p>
    <w:p w:rsidR="00E601AA" w:rsidRDefault="00E601AA"/>
    <w:sectPr w:rsidR="00E601AA" w:rsidSect="002B2E9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664A"/>
    <w:rsid w:val="00CC664A"/>
    <w:rsid w:val="00E60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1AA"/>
  </w:style>
  <w:style w:type="paragraph" w:styleId="1">
    <w:name w:val="heading 1"/>
    <w:basedOn w:val="a"/>
    <w:next w:val="a"/>
    <w:link w:val="10"/>
    <w:uiPriority w:val="99"/>
    <w:qFormat/>
    <w:rsid w:val="00CC664A"/>
    <w:pPr>
      <w:autoSpaceDE w:val="0"/>
      <w:autoSpaceDN w:val="0"/>
      <w:adjustRightInd w:val="0"/>
      <w:spacing w:after="0" w:line="240" w:lineRule="auto"/>
      <w:outlineLvl w:val="0"/>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664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20" TargetMode="External"/><Relationship Id="rId3" Type="http://schemas.openxmlformats.org/officeDocument/2006/relationships/webSettings" Target="webSettings.xml"/><Relationship Id="rId7" Type="http://schemas.openxmlformats.org/officeDocument/2006/relationships/hyperlink" Target="l%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20" TargetMode="External"/><Relationship Id="rId11" Type="http://schemas.openxmlformats.org/officeDocument/2006/relationships/theme" Target="theme/theme1.xml"/><Relationship Id="rId5" Type="http://schemas.openxmlformats.org/officeDocument/2006/relationships/hyperlink" Target="l%20" TargetMode="External"/><Relationship Id="rId10" Type="http://schemas.openxmlformats.org/officeDocument/2006/relationships/fontTable" Target="fontTable.xml"/><Relationship Id="rId4" Type="http://schemas.openxmlformats.org/officeDocument/2006/relationships/hyperlink" Target="l%20" TargetMode="External"/><Relationship Id="rId9" Type="http://schemas.openxmlformats.org/officeDocument/2006/relationships/hyperlink" Target="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10426</Characters>
  <Application>Microsoft Office Word</Application>
  <DocSecurity>0</DocSecurity>
  <Lines>86</Lines>
  <Paragraphs>24</Paragraphs>
  <ScaleCrop>false</ScaleCrop>
  <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leonova</cp:lastModifiedBy>
  <cp:revision>1</cp:revision>
  <dcterms:created xsi:type="dcterms:W3CDTF">2020-11-24T11:43:00Z</dcterms:created>
  <dcterms:modified xsi:type="dcterms:W3CDTF">2020-11-24T11:43:00Z</dcterms:modified>
</cp:coreProperties>
</file>